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EF37" w14:textId="77777777" w:rsidR="00082A63" w:rsidRDefault="008B068D">
      <w:pPr>
        <w:spacing w:line="600" w:lineRule="exact"/>
        <w:jc w:val="left"/>
        <w:outlineLvl w:val="0"/>
        <w:rPr>
          <w:rFonts w:ascii="方正小标宋简体" w:eastAsia="方正小标宋简体" w:hAnsi="方正小标宋简体" w:cs="方正小标宋简体"/>
          <w:sz w:val="32"/>
          <w:szCs w:val="32"/>
        </w:rPr>
      </w:pPr>
      <w:bookmarkStart w:id="0" w:name="_Toc49507308"/>
      <w:r>
        <w:rPr>
          <w:rFonts w:ascii="黑体" w:eastAsia="黑体" w:hAnsi="黑体" w:cs="黑体" w:hint="eastAsia"/>
          <w:sz w:val="32"/>
          <w:szCs w:val="32"/>
        </w:rPr>
        <w:t>附件1</w:t>
      </w:r>
      <w:bookmarkEnd w:id="0"/>
    </w:p>
    <w:p w14:paraId="4FBBE5B9" w14:textId="77777777" w:rsidR="00082A63" w:rsidRDefault="00082A63">
      <w:pPr>
        <w:spacing w:line="580" w:lineRule="exact"/>
        <w:jc w:val="center"/>
        <w:rPr>
          <w:rFonts w:ascii="方正小标宋简体" w:eastAsia="方正小标宋简体" w:hAnsi="方正小标宋简体" w:cs="方正小标宋简体"/>
          <w:sz w:val="44"/>
          <w:szCs w:val="44"/>
        </w:rPr>
      </w:pPr>
    </w:p>
    <w:p w14:paraId="7668D4C1" w14:textId="77777777" w:rsidR="00082A63" w:rsidRDefault="008B068D">
      <w:pPr>
        <w:widowControl/>
        <w:adjustRightInd w:val="0"/>
        <w:snapToGrid w:val="0"/>
        <w:spacing w:line="580" w:lineRule="exact"/>
        <w:jc w:val="center"/>
        <w:rPr>
          <w:rFonts w:ascii="方正小标宋简体" w:eastAsia="方正小标宋简体" w:hAnsi="宋体"/>
          <w:sz w:val="44"/>
          <w:szCs w:val="44"/>
          <w:shd w:val="clear" w:color="auto" w:fill="FFFFFF"/>
        </w:rPr>
      </w:pPr>
      <w:r>
        <w:rPr>
          <w:rFonts w:ascii="方正小标宋简体" w:eastAsia="方正小标宋简体" w:hAnsi="宋体" w:hint="eastAsia"/>
          <w:sz w:val="44"/>
          <w:szCs w:val="44"/>
          <w:shd w:val="clear" w:color="auto" w:fill="FFFFFF"/>
        </w:rPr>
        <w:t>四川省中医药管理局</w:t>
      </w:r>
    </w:p>
    <w:p w14:paraId="2EB6D531" w14:textId="77777777" w:rsidR="00082A63" w:rsidRDefault="008B068D">
      <w:pPr>
        <w:widowControl/>
        <w:adjustRightInd w:val="0"/>
        <w:snapToGrid w:val="0"/>
        <w:spacing w:line="580" w:lineRule="exact"/>
        <w:jc w:val="center"/>
        <w:rPr>
          <w:rFonts w:ascii="方正小标宋简体" w:eastAsia="方正小标宋简体" w:hAnsi="仿宋"/>
          <w:color w:val="000000"/>
          <w:kern w:val="0"/>
          <w:szCs w:val="32"/>
          <w:shd w:val="clear" w:color="auto" w:fill="FFFFFF"/>
        </w:rPr>
      </w:pPr>
      <w:r>
        <w:rPr>
          <w:rFonts w:ascii="方正小标宋简体" w:eastAsia="方正小标宋简体" w:hAnsi="宋体" w:hint="eastAsia"/>
          <w:sz w:val="44"/>
          <w:szCs w:val="44"/>
          <w:shd w:val="clear" w:color="auto" w:fill="FFFFFF"/>
        </w:rPr>
        <w:t>2019年部门整体支出绩效评价报告</w:t>
      </w:r>
    </w:p>
    <w:p w14:paraId="371D93FD" w14:textId="77777777" w:rsidR="00082A63" w:rsidRDefault="00082A63">
      <w:pPr>
        <w:widowControl/>
        <w:adjustRightInd w:val="0"/>
        <w:snapToGrid w:val="0"/>
        <w:spacing w:line="580" w:lineRule="exact"/>
        <w:ind w:firstLine="720"/>
        <w:jc w:val="left"/>
        <w:rPr>
          <w:rFonts w:ascii="仿宋" w:eastAsia="仿宋" w:hAnsi="仿宋"/>
          <w:color w:val="000000"/>
          <w:kern w:val="0"/>
          <w:szCs w:val="32"/>
          <w:shd w:val="clear" w:color="auto" w:fill="FFFFFF"/>
        </w:rPr>
      </w:pPr>
    </w:p>
    <w:p w14:paraId="04C32CED" w14:textId="77777777" w:rsidR="00082A63" w:rsidRDefault="008B068D">
      <w:pPr>
        <w:widowControl/>
        <w:adjustRightInd w:val="0"/>
        <w:snapToGrid w:val="0"/>
        <w:spacing w:line="580" w:lineRule="exact"/>
        <w:ind w:firstLine="720"/>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14:paraId="4E9F35AC" w14:textId="77777777" w:rsidR="00082A63" w:rsidRDefault="008B068D">
      <w:pPr>
        <w:pStyle w:val="a4"/>
        <w:adjustRightInd w:val="0"/>
        <w:snapToGrid w:val="0"/>
        <w:spacing w:before="93" w:line="580" w:lineRule="exact"/>
        <w:ind w:firstLineChars="210" w:firstLine="675"/>
        <w:rPr>
          <w:rFonts w:ascii="楷体" w:eastAsia="楷体" w:hAnsi="楷体" w:cs="宋体"/>
          <w:b/>
          <w:color w:val="000000"/>
          <w:sz w:val="32"/>
          <w:szCs w:val="32"/>
          <w:shd w:val="clear" w:color="auto" w:fill="FFFFFF"/>
          <w:lang w:val="zh-CN"/>
        </w:rPr>
      </w:pPr>
      <w:r>
        <w:rPr>
          <w:rFonts w:ascii="楷体" w:eastAsia="楷体" w:hAnsi="楷体" w:cs="宋体" w:hint="eastAsia"/>
          <w:b/>
          <w:color w:val="000000"/>
          <w:sz w:val="32"/>
          <w:szCs w:val="32"/>
          <w:shd w:val="clear" w:color="auto" w:fill="FFFFFF"/>
          <w:lang w:val="zh-CN"/>
        </w:rPr>
        <w:t>（一）机构组成。</w:t>
      </w:r>
    </w:p>
    <w:p w14:paraId="4CDADC74" w14:textId="77777777" w:rsidR="00082A63" w:rsidRDefault="008B068D">
      <w:pPr>
        <w:pStyle w:val="1"/>
        <w:spacing w:before="0" w:after="0" w:line="600" w:lineRule="exact"/>
        <w:ind w:firstLineChars="200" w:firstLine="640"/>
        <w:rPr>
          <w:rFonts w:ascii="仿宋" w:eastAsia="仿宋" w:hAnsi="仿宋"/>
          <w:b w:val="0"/>
          <w:bCs w:val="0"/>
          <w:color w:val="000000"/>
          <w:kern w:val="0"/>
          <w:sz w:val="32"/>
          <w:szCs w:val="32"/>
          <w:shd w:val="clear" w:color="auto" w:fill="FFFFFF"/>
        </w:rPr>
      </w:pPr>
      <w:bookmarkStart w:id="1" w:name="_Toc49507309"/>
      <w:r>
        <w:rPr>
          <w:rFonts w:ascii="仿宋" w:eastAsia="仿宋" w:hAnsi="仿宋" w:hint="eastAsia"/>
          <w:b w:val="0"/>
          <w:bCs w:val="0"/>
          <w:color w:val="000000"/>
          <w:kern w:val="0"/>
          <w:sz w:val="32"/>
          <w:szCs w:val="32"/>
          <w:shd w:val="clear" w:color="auto" w:fill="FFFFFF"/>
        </w:rPr>
        <w:t>四川省中医药管理局部门是由四川省中医药管理局局机关、四川省中医药管理局规划财务处、四川省中医药发展服务中心、</w:t>
      </w:r>
      <w:hyperlink r:id="rId7" w:tgtFrame="_blank" w:tooltip="四川省中医药科学院（省中药研究所）" w:history="1">
        <w:r>
          <w:rPr>
            <w:rFonts w:ascii="仿宋" w:eastAsia="仿宋" w:hAnsi="仿宋" w:hint="eastAsia"/>
            <w:b w:val="0"/>
            <w:bCs w:val="0"/>
            <w:kern w:val="0"/>
            <w:sz w:val="32"/>
            <w:szCs w:val="32"/>
            <w:shd w:val="clear" w:color="auto" w:fill="FFFFFF"/>
          </w:rPr>
          <w:t>四川省中医药科学院、</w:t>
        </w:r>
      </w:hyperlink>
      <w:r>
        <w:rPr>
          <w:rFonts w:ascii="仿宋" w:eastAsia="仿宋" w:hAnsi="仿宋" w:hint="eastAsia"/>
          <w:b w:val="0"/>
          <w:bCs w:val="0"/>
          <w:color w:val="000000"/>
          <w:kern w:val="0"/>
          <w:sz w:val="32"/>
          <w:szCs w:val="32"/>
          <w:shd w:val="clear" w:color="auto" w:fill="FFFFFF"/>
        </w:rPr>
        <w:t>四川省中医药转化中心</w:t>
      </w:r>
      <w:r>
        <w:rPr>
          <w:rFonts w:ascii="仿宋" w:eastAsia="仿宋" w:hAnsi="仿宋"/>
          <w:b w:val="0"/>
          <w:bCs w:val="0"/>
          <w:color w:val="000000"/>
          <w:kern w:val="0"/>
          <w:sz w:val="32"/>
          <w:szCs w:val="32"/>
          <w:shd w:val="clear" w:color="auto" w:fill="FFFFFF"/>
        </w:rPr>
        <w:t>、</w:t>
      </w:r>
      <w:hyperlink r:id="rId8" w:tgtFrame="_blank" w:tooltip="四川省骨科医院" w:history="1">
        <w:r>
          <w:rPr>
            <w:rFonts w:ascii="仿宋" w:eastAsia="仿宋" w:hAnsi="仿宋" w:hint="eastAsia"/>
            <w:b w:val="0"/>
            <w:bCs w:val="0"/>
            <w:kern w:val="0"/>
            <w:sz w:val="32"/>
            <w:szCs w:val="32"/>
            <w:shd w:val="clear" w:color="auto" w:fill="FFFFFF"/>
          </w:rPr>
          <w:t>四川省骨科医院</w:t>
        </w:r>
      </w:hyperlink>
      <w:r>
        <w:rPr>
          <w:rFonts w:ascii="仿宋" w:eastAsia="仿宋" w:hAnsi="仿宋"/>
          <w:b w:val="0"/>
          <w:bCs w:val="0"/>
          <w:color w:val="000000"/>
          <w:kern w:val="0"/>
          <w:sz w:val="32"/>
          <w:szCs w:val="32"/>
          <w:shd w:val="clear" w:color="auto" w:fill="FFFFFF"/>
        </w:rPr>
        <w:t>、</w:t>
      </w:r>
      <w:r>
        <w:rPr>
          <w:rFonts w:ascii="仿宋" w:eastAsia="仿宋" w:hAnsi="仿宋" w:hint="eastAsia"/>
          <w:b w:val="0"/>
          <w:bCs w:val="0"/>
          <w:color w:val="000000"/>
          <w:kern w:val="0"/>
          <w:sz w:val="32"/>
          <w:szCs w:val="32"/>
          <w:shd w:val="clear" w:color="auto" w:fill="FFFFFF"/>
        </w:rPr>
        <w:t>四川省中西医结合医院、</w:t>
      </w:r>
      <w:hyperlink r:id="rId9" w:tgtFrame="_blank" w:tooltip="成都中医药大学附属医院（四川省中医医院）" w:history="1">
        <w:r>
          <w:rPr>
            <w:rFonts w:ascii="仿宋" w:eastAsia="仿宋" w:hAnsi="仿宋" w:hint="eastAsia"/>
            <w:b w:val="0"/>
            <w:bCs w:val="0"/>
            <w:kern w:val="0"/>
            <w:sz w:val="32"/>
            <w:szCs w:val="32"/>
            <w:shd w:val="clear" w:color="auto" w:fill="FFFFFF"/>
          </w:rPr>
          <w:t>成都中医药大学附属医院（四川省中医医院）</w:t>
        </w:r>
      </w:hyperlink>
      <w:r>
        <w:rPr>
          <w:rFonts w:ascii="仿宋" w:eastAsia="仿宋" w:hAnsi="仿宋"/>
          <w:b w:val="0"/>
          <w:bCs w:val="0"/>
          <w:color w:val="000000"/>
          <w:kern w:val="0"/>
          <w:sz w:val="32"/>
          <w:szCs w:val="32"/>
          <w:shd w:val="clear" w:color="auto" w:fill="FFFFFF"/>
        </w:rPr>
        <w:t>、</w:t>
      </w:r>
      <w:hyperlink r:id="rId10" w:tgtFrame="_blank" w:tooltip="四川省中医药科学院中医研究所（四川省第二中医医院、省中医药科学院针灸经络研究所）" w:history="1">
        <w:r>
          <w:rPr>
            <w:rFonts w:ascii="仿宋" w:eastAsia="仿宋" w:hAnsi="仿宋" w:hint="eastAsia"/>
            <w:b w:val="0"/>
            <w:bCs w:val="0"/>
            <w:kern w:val="0"/>
            <w:sz w:val="32"/>
            <w:szCs w:val="32"/>
            <w:shd w:val="clear" w:color="auto" w:fill="FFFFFF"/>
          </w:rPr>
          <w:t>四川省中医药科学院中医研究所</w:t>
        </w:r>
      </w:hyperlink>
      <w:r>
        <w:rPr>
          <w:rFonts w:ascii="仿宋" w:eastAsia="仿宋" w:hAnsi="仿宋"/>
          <w:b w:val="0"/>
          <w:bCs w:val="0"/>
          <w:color w:val="000000"/>
          <w:kern w:val="0"/>
          <w:sz w:val="32"/>
          <w:szCs w:val="32"/>
          <w:shd w:val="clear" w:color="auto" w:fill="FFFFFF"/>
        </w:rPr>
        <w:t>、</w:t>
      </w:r>
      <w:hyperlink r:id="rId11" w:tgtFrame="_blank" w:tooltip="西南医科大学附属中医医院" w:history="1">
        <w:r>
          <w:rPr>
            <w:rFonts w:ascii="仿宋" w:eastAsia="仿宋" w:hAnsi="仿宋" w:hint="eastAsia"/>
            <w:b w:val="0"/>
            <w:bCs w:val="0"/>
            <w:kern w:val="0"/>
            <w:sz w:val="32"/>
            <w:szCs w:val="32"/>
            <w:shd w:val="clear" w:color="auto" w:fill="FFFFFF"/>
          </w:rPr>
          <w:t>西南医科大学附属中医医院</w:t>
        </w:r>
      </w:hyperlink>
      <w:r>
        <w:rPr>
          <w:rFonts w:ascii="仿宋" w:eastAsia="仿宋" w:hAnsi="仿宋"/>
          <w:b w:val="0"/>
          <w:bCs w:val="0"/>
          <w:color w:val="000000"/>
          <w:kern w:val="0"/>
          <w:sz w:val="32"/>
          <w:szCs w:val="32"/>
          <w:shd w:val="clear" w:color="auto" w:fill="FFFFFF"/>
        </w:rPr>
        <w:t>、</w:t>
      </w:r>
      <w:hyperlink r:id="rId12" w:tgtFrame="_blank" w:tooltip="成都中医药大学附属医院针灸学校（四川省针灸学校）" w:history="1">
        <w:r>
          <w:rPr>
            <w:rFonts w:ascii="仿宋" w:eastAsia="仿宋" w:hAnsi="仿宋" w:hint="eastAsia"/>
            <w:b w:val="0"/>
            <w:bCs w:val="0"/>
            <w:kern w:val="0"/>
            <w:sz w:val="32"/>
            <w:szCs w:val="32"/>
            <w:shd w:val="clear" w:color="auto" w:fill="FFFFFF"/>
          </w:rPr>
          <w:t>成都中医药大学附属医院针灸学校（四川省针灸学校）</w:t>
        </w:r>
      </w:hyperlink>
      <w:r>
        <w:rPr>
          <w:rFonts w:ascii="仿宋" w:eastAsia="仿宋" w:hAnsi="仿宋"/>
          <w:b w:val="0"/>
          <w:bCs w:val="0"/>
          <w:color w:val="000000"/>
          <w:kern w:val="0"/>
          <w:sz w:val="32"/>
          <w:szCs w:val="32"/>
          <w:shd w:val="clear" w:color="auto" w:fill="FFFFFF"/>
        </w:rPr>
        <w:t>、</w:t>
      </w:r>
      <w:r>
        <w:rPr>
          <w:rFonts w:ascii="仿宋" w:eastAsia="仿宋" w:hAnsi="仿宋" w:hint="eastAsia"/>
          <w:b w:val="0"/>
          <w:bCs w:val="0"/>
          <w:color w:val="000000"/>
          <w:kern w:val="0"/>
          <w:sz w:val="32"/>
          <w:szCs w:val="32"/>
          <w:shd w:val="clear" w:color="auto" w:fill="FFFFFF"/>
        </w:rPr>
        <w:t>成都中医药大学附属第二医院筹建处共12个二级预算单位组成。</w:t>
      </w:r>
      <w:bookmarkEnd w:id="1"/>
    </w:p>
    <w:p w14:paraId="0348273C" w14:textId="77777777" w:rsidR="00082A63" w:rsidRDefault="008B068D">
      <w:pPr>
        <w:pStyle w:val="a4"/>
        <w:adjustRightInd w:val="0"/>
        <w:snapToGrid w:val="0"/>
        <w:spacing w:before="93" w:line="580" w:lineRule="exact"/>
        <w:ind w:firstLineChars="210" w:firstLine="675"/>
        <w:rPr>
          <w:rFonts w:ascii="楷体" w:eastAsia="楷体" w:hAnsi="楷体" w:cs="宋体"/>
          <w:b/>
          <w:color w:val="000000"/>
          <w:sz w:val="32"/>
          <w:szCs w:val="32"/>
          <w:shd w:val="clear" w:color="auto" w:fill="FFFFFF"/>
          <w:lang w:val="zh-CN"/>
        </w:rPr>
      </w:pPr>
      <w:r>
        <w:rPr>
          <w:rFonts w:ascii="楷体" w:eastAsia="楷体" w:hAnsi="楷体" w:cs="宋体" w:hint="eastAsia"/>
          <w:b/>
          <w:color w:val="000000"/>
          <w:sz w:val="32"/>
          <w:szCs w:val="32"/>
          <w:shd w:val="clear" w:color="auto" w:fill="FFFFFF"/>
          <w:lang w:val="zh-CN"/>
        </w:rPr>
        <w:t>（二）机构职能。</w:t>
      </w:r>
    </w:p>
    <w:p w14:paraId="0215DB27" w14:textId="77777777" w:rsidR="00082A63" w:rsidRDefault="008B068D">
      <w:pPr>
        <w:pStyle w:val="a4"/>
        <w:adjustRightInd w:val="0"/>
        <w:snapToGrid w:val="0"/>
        <w:spacing w:before="93" w:line="600" w:lineRule="exact"/>
        <w:ind w:firstLineChars="210" w:firstLine="672"/>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1.贯彻执行国家中医药（含中西医结合和民族医药，下同）工作法律、法规和方针、政策，拟订有关地方性法规规章、管理规范和技术标准并监督执行，参与重大中医药项目的规划和组织实施，对全省中医药工作实行行业管理。</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2.承担全省中医医疗、预防、保健、康复及临床用药等的监督管理责任，规划、指导和协调全省中医医疗、科研机构的结构布局及其运行机制的改革，监督执行各类中医医疗、</w:t>
      </w:r>
      <w:r>
        <w:rPr>
          <w:rFonts w:ascii="仿宋" w:eastAsia="仿宋" w:hAnsi="仿宋" w:hint="eastAsia"/>
          <w:color w:val="000000"/>
          <w:sz w:val="32"/>
          <w:szCs w:val="32"/>
          <w:shd w:val="clear" w:color="auto" w:fill="FFFFFF"/>
        </w:rPr>
        <w:lastRenderedPageBreak/>
        <w:t>保健等机构管理规范和技术标准，拟订全省中医药人员服务规范和职业道德规范，促进全省中医药行业作风建设。</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3.指导农村和社区卫生服务中的中医药工作和全省民族医药的理论、医术、药物的发掘、整理、总结和提高，监督和协调全省医疗、研究机构的中西医结合工作。</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4.组织开展全省中药资源普查，促进中药资源的保护、开发和合理利用，参与制订全省中药产业发展规划、产业政策和中医药的扶持政策，参与全省基本药物制度建设。</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5.组织拟订全省中医药人才发展规划，参与拟订中医药教育发展规划和中医药专业技术人员资格标准并组织实施，会同有关部门组织开展中医药师承教育、继续教育和相关人才培训工作，参与指导全省中医药教育教学改革。</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6.拟订和组织实施全省中医药科学研究、技术开发规划，指导中医药科研条件和能力建设，管理全省的国家和省重点中医药科研项目，促进中医药科技成果的转化、应用和推广。</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7.承担保护全省濒临消亡的中医诊疗技术和中药生产加工技术的责任，组织开展对中医古籍的整理研究和中医药文化的继承发展，提出保护中医非物质文化遗产的建议，推动中医药防病治病知识普及。</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8.指导全省中医药界与国际和港澳台地区的交流合作，促进中医药技术的国际推广、应用和传播。</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9.承担省政府公布的有关行政审批事项。</w:t>
      </w:r>
      <w:r>
        <w:rPr>
          <w:rFonts w:ascii="仿宋" w:eastAsia="仿宋" w:hAnsi="仿宋" w:hint="eastAsia"/>
          <w:color w:val="000000"/>
          <w:sz w:val="32"/>
          <w:szCs w:val="32"/>
        </w:rPr>
        <w:br/>
      </w:r>
      <w:r>
        <w:rPr>
          <w:rFonts w:ascii="仿宋" w:eastAsia="仿宋" w:hAnsi="仿宋" w:hint="eastAsia"/>
          <w:color w:val="000000"/>
          <w:sz w:val="32"/>
          <w:szCs w:val="32"/>
          <w:shd w:val="clear" w:color="auto" w:fill="FFFFFF"/>
        </w:rPr>
        <w:t xml:space="preserve">　　10.承办省政府及卫生厅交办的其他事项。</w:t>
      </w:r>
    </w:p>
    <w:p w14:paraId="1B851D0C" w14:textId="77777777" w:rsidR="00082A63" w:rsidRDefault="008B068D">
      <w:pPr>
        <w:pStyle w:val="a4"/>
        <w:adjustRightInd w:val="0"/>
        <w:snapToGrid w:val="0"/>
        <w:spacing w:before="93" w:line="580" w:lineRule="exact"/>
        <w:ind w:firstLineChars="210" w:firstLine="675"/>
        <w:rPr>
          <w:rFonts w:ascii="楷体" w:eastAsia="楷体" w:hAnsi="楷体" w:cs="宋体"/>
          <w:b/>
          <w:color w:val="000000"/>
          <w:sz w:val="32"/>
          <w:szCs w:val="32"/>
          <w:shd w:val="clear" w:color="auto" w:fill="FFFFFF"/>
          <w:lang w:val="zh-CN"/>
        </w:rPr>
      </w:pPr>
      <w:r>
        <w:rPr>
          <w:rFonts w:ascii="楷体" w:eastAsia="楷体" w:hAnsi="楷体" w:cs="宋体" w:hint="eastAsia"/>
          <w:b/>
          <w:color w:val="000000"/>
          <w:sz w:val="32"/>
          <w:szCs w:val="32"/>
          <w:shd w:val="clear" w:color="auto" w:fill="FFFFFF"/>
          <w:lang w:val="zh-CN"/>
        </w:rPr>
        <w:lastRenderedPageBreak/>
        <w:t>（三）人员概况。</w:t>
      </w:r>
    </w:p>
    <w:p w14:paraId="5CB81079" w14:textId="77777777" w:rsidR="00082A63" w:rsidRDefault="008B068D">
      <w:pPr>
        <w:spacing w:line="600" w:lineRule="exact"/>
        <w:ind w:firstLineChars="200" w:firstLine="640"/>
        <w:rPr>
          <w:rFonts w:ascii="仿宋" w:eastAsia="仿宋" w:hAnsi="仿宋"/>
          <w:sz w:val="32"/>
          <w:szCs w:val="32"/>
        </w:rPr>
      </w:pPr>
      <w:r>
        <w:rPr>
          <w:rFonts w:ascii="仿宋" w:eastAsia="仿宋" w:hAnsi="仿宋" w:hint="eastAsia"/>
          <w:sz w:val="32"/>
          <w:szCs w:val="32"/>
        </w:rPr>
        <w:t>四川省中医药管理局部门2019年度末，实有在职人数2491人，其中行政人员74名，</w:t>
      </w:r>
      <w:proofErr w:type="gramStart"/>
      <w:r>
        <w:rPr>
          <w:rFonts w:ascii="仿宋" w:eastAsia="仿宋" w:hAnsi="仿宋" w:hint="eastAsia"/>
          <w:sz w:val="32"/>
          <w:szCs w:val="32"/>
        </w:rPr>
        <w:t>非参公事</w:t>
      </w:r>
      <w:proofErr w:type="gramEnd"/>
      <w:r>
        <w:rPr>
          <w:rFonts w:ascii="仿宋" w:eastAsia="仿宋" w:hAnsi="仿宋" w:hint="eastAsia"/>
          <w:sz w:val="32"/>
          <w:szCs w:val="32"/>
        </w:rPr>
        <w:t>业人员483人，经费自理在职人员1934人。</w:t>
      </w:r>
    </w:p>
    <w:p w14:paraId="1C5CD038" w14:textId="77777777" w:rsidR="00082A63" w:rsidRDefault="008B068D">
      <w:pPr>
        <w:spacing w:line="600" w:lineRule="exact"/>
        <w:ind w:firstLineChars="200" w:firstLine="640"/>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lang w:val="zh-CN"/>
        </w:rPr>
        <w:t>二、部门财政资金收支情况</w:t>
      </w:r>
    </w:p>
    <w:p w14:paraId="2FACBB27" w14:textId="77777777" w:rsidR="00082A63" w:rsidRDefault="008B068D">
      <w:pPr>
        <w:spacing w:line="600" w:lineRule="exact"/>
        <w:ind w:firstLineChars="150" w:firstLine="482"/>
        <w:rPr>
          <w:rFonts w:ascii="楷体" w:eastAsia="楷体" w:hAnsi="楷体"/>
          <w:b/>
          <w:sz w:val="32"/>
          <w:szCs w:val="32"/>
        </w:rPr>
      </w:pPr>
      <w:r>
        <w:rPr>
          <w:rFonts w:ascii="楷体" w:eastAsia="楷体" w:hAnsi="楷体" w:hint="eastAsia"/>
          <w:b/>
          <w:sz w:val="32"/>
          <w:szCs w:val="32"/>
        </w:rPr>
        <w:t>（一）部门财政资金收入情况。</w:t>
      </w:r>
    </w:p>
    <w:p w14:paraId="10949399" w14:textId="77777777" w:rsidR="00082A63" w:rsidRDefault="008B068D">
      <w:pPr>
        <w:spacing w:line="600" w:lineRule="exact"/>
        <w:ind w:firstLineChars="250" w:firstLine="800"/>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2019年度本部门财政预算收入</w:t>
      </w:r>
      <w:r>
        <w:rPr>
          <w:rFonts w:ascii="仿宋" w:eastAsia="仿宋" w:hAnsi="仿宋"/>
          <w:color w:val="000000"/>
          <w:kern w:val="0"/>
          <w:sz w:val="32"/>
          <w:szCs w:val="32"/>
          <w:shd w:val="clear" w:color="auto" w:fill="FFFFFF"/>
        </w:rPr>
        <w:t>68,194.74</w:t>
      </w:r>
      <w:r>
        <w:rPr>
          <w:rFonts w:ascii="仿宋" w:eastAsia="仿宋" w:hAnsi="仿宋" w:hint="eastAsia"/>
          <w:color w:val="000000"/>
          <w:kern w:val="0"/>
          <w:sz w:val="32"/>
          <w:szCs w:val="32"/>
          <w:shd w:val="clear" w:color="auto" w:fill="FFFFFF"/>
        </w:rPr>
        <w:t>万元，其中一般公共预算财政收入</w:t>
      </w:r>
      <w:r>
        <w:rPr>
          <w:rFonts w:ascii="仿宋" w:eastAsia="仿宋" w:hAnsi="仿宋"/>
          <w:color w:val="000000"/>
          <w:kern w:val="0"/>
          <w:sz w:val="32"/>
          <w:szCs w:val="32"/>
          <w:shd w:val="clear" w:color="auto" w:fill="FFFFFF"/>
        </w:rPr>
        <w:t>68,144.47</w:t>
      </w:r>
      <w:r>
        <w:rPr>
          <w:rFonts w:ascii="仿宋" w:eastAsia="仿宋" w:hAnsi="仿宋" w:hint="eastAsia"/>
          <w:color w:val="000000"/>
          <w:kern w:val="0"/>
          <w:sz w:val="32"/>
          <w:szCs w:val="32"/>
          <w:shd w:val="clear" w:color="auto" w:fill="FFFFFF"/>
        </w:rPr>
        <w:t>万元，年初财政拨款结转和结余</w:t>
      </w:r>
      <w:r>
        <w:rPr>
          <w:rFonts w:ascii="仿宋" w:eastAsia="仿宋" w:hAnsi="仿宋"/>
          <w:color w:val="000000"/>
          <w:kern w:val="0"/>
          <w:sz w:val="32"/>
          <w:szCs w:val="32"/>
          <w:shd w:val="clear" w:color="auto" w:fill="FFFFFF"/>
        </w:rPr>
        <w:t>50.27</w:t>
      </w:r>
      <w:r>
        <w:rPr>
          <w:rFonts w:ascii="仿宋" w:eastAsia="仿宋" w:hAnsi="仿宋" w:hint="eastAsia"/>
          <w:color w:val="000000"/>
          <w:kern w:val="0"/>
          <w:sz w:val="32"/>
          <w:szCs w:val="32"/>
          <w:shd w:val="clear" w:color="auto" w:fill="FFFFFF"/>
        </w:rPr>
        <w:t>万元。</w:t>
      </w:r>
    </w:p>
    <w:p w14:paraId="2EEF128D" w14:textId="77777777" w:rsidR="00082A63" w:rsidRDefault="008B068D">
      <w:pPr>
        <w:spacing w:line="600" w:lineRule="exact"/>
        <w:ind w:firstLineChars="250" w:firstLine="800"/>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2019年度本部门财政决算收入总计</w:t>
      </w:r>
      <w:r>
        <w:rPr>
          <w:rFonts w:ascii="仿宋" w:eastAsia="仿宋" w:hAnsi="仿宋"/>
          <w:color w:val="000000"/>
          <w:kern w:val="0"/>
          <w:sz w:val="32"/>
          <w:szCs w:val="32"/>
          <w:shd w:val="clear" w:color="auto" w:fill="FFFFFF"/>
        </w:rPr>
        <w:t>63,481.42万</w:t>
      </w:r>
      <w:r>
        <w:rPr>
          <w:rFonts w:ascii="仿宋" w:eastAsia="仿宋" w:hAnsi="仿宋" w:hint="eastAsia"/>
          <w:color w:val="000000"/>
          <w:kern w:val="0"/>
          <w:sz w:val="32"/>
          <w:szCs w:val="32"/>
          <w:shd w:val="clear" w:color="auto" w:fill="FFFFFF"/>
        </w:rPr>
        <w:t>元，其中一般公共预算财政收入</w:t>
      </w:r>
      <w:r>
        <w:rPr>
          <w:rFonts w:ascii="仿宋" w:eastAsia="仿宋" w:hAnsi="仿宋"/>
          <w:color w:val="000000"/>
          <w:kern w:val="0"/>
          <w:sz w:val="32"/>
          <w:szCs w:val="32"/>
          <w:shd w:val="clear" w:color="auto" w:fill="FFFFFF"/>
        </w:rPr>
        <w:t>63,467.16万</w:t>
      </w:r>
      <w:r>
        <w:rPr>
          <w:rFonts w:ascii="仿宋" w:eastAsia="仿宋" w:hAnsi="仿宋" w:hint="eastAsia"/>
          <w:color w:val="000000"/>
          <w:kern w:val="0"/>
          <w:sz w:val="32"/>
          <w:szCs w:val="32"/>
          <w:shd w:val="clear" w:color="auto" w:fill="FFFFFF"/>
        </w:rPr>
        <w:t>元，年初财政拨款结转和结余</w:t>
      </w:r>
      <w:r>
        <w:rPr>
          <w:rFonts w:ascii="仿宋" w:eastAsia="仿宋" w:hAnsi="仿宋"/>
          <w:color w:val="000000"/>
          <w:kern w:val="0"/>
          <w:sz w:val="32"/>
          <w:szCs w:val="32"/>
          <w:shd w:val="clear" w:color="auto" w:fill="FFFFFF"/>
        </w:rPr>
        <w:t>14.26</w:t>
      </w:r>
      <w:r>
        <w:rPr>
          <w:rFonts w:ascii="仿宋" w:eastAsia="仿宋" w:hAnsi="仿宋" w:hint="eastAsia"/>
          <w:color w:val="000000"/>
          <w:kern w:val="0"/>
          <w:sz w:val="32"/>
          <w:szCs w:val="32"/>
          <w:shd w:val="clear" w:color="auto" w:fill="FFFFFF"/>
        </w:rPr>
        <w:t>万元。</w:t>
      </w:r>
    </w:p>
    <w:p w14:paraId="24A76704" w14:textId="77777777" w:rsidR="00082A63" w:rsidRDefault="008B068D">
      <w:pPr>
        <w:spacing w:line="600" w:lineRule="exact"/>
        <w:ind w:firstLineChars="150" w:firstLine="482"/>
        <w:rPr>
          <w:rFonts w:ascii="楷体" w:eastAsia="楷体" w:hAnsi="楷体"/>
          <w:b/>
          <w:sz w:val="32"/>
          <w:szCs w:val="32"/>
        </w:rPr>
      </w:pPr>
      <w:r>
        <w:rPr>
          <w:rFonts w:ascii="楷体" w:eastAsia="楷体" w:hAnsi="楷体" w:hint="eastAsia"/>
          <w:b/>
          <w:sz w:val="32"/>
          <w:szCs w:val="32"/>
        </w:rPr>
        <w:t>（二）部门财政资金支出情况。</w:t>
      </w:r>
    </w:p>
    <w:p w14:paraId="4527DC58" w14:textId="77777777" w:rsidR="00082A63" w:rsidRDefault="008B068D">
      <w:pPr>
        <w:spacing w:line="600" w:lineRule="exact"/>
        <w:ind w:firstLineChars="250" w:firstLine="800"/>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2019年度本部门财政资金预算支出</w:t>
      </w:r>
      <w:r>
        <w:rPr>
          <w:rFonts w:ascii="仿宋" w:eastAsia="仿宋" w:hAnsi="仿宋"/>
          <w:color w:val="000000"/>
          <w:kern w:val="0"/>
          <w:sz w:val="32"/>
          <w:szCs w:val="32"/>
          <w:shd w:val="clear" w:color="auto" w:fill="FFFFFF"/>
        </w:rPr>
        <w:t>68,194.74</w:t>
      </w:r>
      <w:r>
        <w:rPr>
          <w:rFonts w:ascii="仿宋" w:eastAsia="仿宋" w:hAnsi="仿宋" w:hint="eastAsia"/>
          <w:color w:val="000000"/>
          <w:kern w:val="0"/>
          <w:sz w:val="32"/>
          <w:szCs w:val="32"/>
          <w:shd w:val="clear" w:color="auto" w:fill="FFFFFF"/>
        </w:rPr>
        <w:t>万元，主要支出：一般公共服务支出</w:t>
      </w:r>
      <w:r>
        <w:rPr>
          <w:rFonts w:ascii="仿宋" w:eastAsia="仿宋" w:hAnsi="仿宋"/>
          <w:color w:val="000000"/>
          <w:kern w:val="0"/>
          <w:sz w:val="32"/>
          <w:szCs w:val="32"/>
          <w:shd w:val="clear" w:color="auto" w:fill="FFFFFF"/>
        </w:rPr>
        <w:t>16.58</w:t>
      </w:r>
      <w:r>
        <w:rPr>
          <w:rFonts w:ascii="仿宋" w:eastAsia="仿宋" w:hAnsi="仿宋" w:hint="eastAsia"/>
          <w:color w:val="000000"/>
          <w:kern w:val="0"/>
          <w:sz w:val="32"/>
          <w:szCs w:val="32"/>
          <w:shd w:val="clear" w:color="auto" w:fill="FFFFFF"/>
        </w:rPr>
        <w:t>万元、教育支出</w:t>
      </w:r>
      <w:r>
        <w:rPr>
          <w:rFonts w:ascii="仿宋" w:eastAsia="仿宋" w:hAnsi="仿宋"/>
          <w:color w:val="000000"/>
          <w:kern w:val="0"/>
          <w:sz w:val="32"/>
          <w:szCs w:val="32"/>
          <w:shd w:val="clear" w:color="auto" w:fill="FFFFFF"/>
        </w:rPr>
        <w:t>6,560.57</w:t>
      </w:r>
      <w:r>
        <w:rPr>
          <w:rFonts w:ascii="仿宋" w:eastAsia="仿宋" w:hAnsi="仿宋" w:hint="eastAsia"/>
          <w:color w:val="000000"/>
          <w:kern w:val="0"/>
          <w:sz w:val="32"/>
          <w:szCs w:val="32"/>
          <w:shd w:val="clear" w:color="auto" w:fill="FFFFFF"/>
        </w:rPr>
        <w:t>万元、科学技术支出</w:t>
      </w:r>
      <w:r>
        <w:rPr>
          <w:rFonts w:ascii="仿宋" w:eastAsia="仿宋" w:hAnsi="仿宋"/>
          <w:color w:val="000000"/>
          <w:kern w:val="0"/>
          <w:sz w:val="32"/>
          <w:szCs w:val="32"/>
          <w:shd w:val="clear" w:color="auto" w:fill="FFFFFF"/>
        </w:rPr>
        <w:t>8,207.48</w:t>
      </w:r>
      <w:r>
        <w:rPr>
          <w:rFonts w:ascii="仿宋" w:eastAsia="仿宋" w:hAnsi="仿宋" w:hint="eastAsia"/>
          <w:color w:val="000000"/>
          <w:kern w:val="0"/>
          <w:sz w:val="32"/>
          <w:szCs w:val="32"/>
          <w:shd w:val="clear" w:color="auto" w:fill="FFFFFF"/>
        </w:rPr>
        <w:t>万元、文化旅游体育与传媒支出</w:t>
      </w:r>
      <w:r>
        <w:rPr>
          <w:rFonts w:ascii="仿宋" w:eastAsia="仿宋" w:hAnsi="仿宋"/>
          <w:color w:val="000000"/>
          <w:kern w:val="0"/>
          <w:sz w:val="32"/>
          <w:szCs w:val="32"/>
          <w:shd w:val="clear" w:color="auto" w:fill="FFFFFF"/>
        </w:rPr>
        <w:t>2.00</w:t>
      </w:r>
      <w:r>
        <w:rPr>
          <w:rFonts w:ascii="仿宋" w:eastAsia="仿宋" w:hAnsi="仿宋" w:hint="eastAsia"/>
          <w:color w:val="000000"/>
          <w:kern w:val="0"/>
          <w:sz w:val="32"/>
          <w:szCs w:val="32"/>
          <w:shd w:val="clear" w:color="auto" w:fill="FFFFFF"/>
        </w:rPr>
        <w:t>万元、社会保障和就业支出</w:t>
      </w:r>
      <w:r>
        <w:rPr>
          <w:rFonts w:ascii="仿宋" w:eastAsia="仿宋" w:hAnsi="仿宋"/>
          <w:color w:val="000000"/>
          <w:kern w:val="0"/>
          <w:sz w:val="32"/>
          <w:szCs w:val="32"/>
          <w:shd w:val="clear" w:color="auto" w:fill="FFFFFF"/>
        </w:rPr>
        <w:t>2,798.27</w:t>
      </w:r>
      <w:r>
        <w:rPr>
          <w:rFonts w:ascii="仿宋" w:eastAsia="仿宋" w:hAnsi="仿宋" w:hint="eastAsia"/>
          <w:color w:val="000000"/>
          <w:kern w:val="0"/>
          <w:sz w:val="32"/>
          <w:szCs w:val="32"/>
          <w:shd w:val="clear" w:color="auto" w:fill="FFFFFF"/>
        </w:rPr>
        <w:t>万元、</w:t>
      </w:r>
      <w:r w:rsidR="001824B2">
        <w:rPr>
          <w:rFonts w:ascii="仿宋" w:eastAsia="仿宋" w:hAnsi="仿宋" w:hint="eastAsia"/>
          <w:color w:val="000000"/>
          <w:kern w:val="0"/>
          <w:sz w:val="32"/>
          <w:szCs w:val="32"/>
          <w:shd w:val="clear" w:color="auto" w:fill="FFFFFF"/>
        </w:rPr>
        <w:t>医疗卫生</w:t>
      </w:r>
      <w:r w:rsidR="001824B2">
        <w:rPr>
          <w:rFonts w:ascii="仿宋" w:eastAsia="仿宋" w:hAnsi="仿宋"/>
          <w:color w:val="000000"/>
          <w:kern w:val="0"/>
          <w:sz w:val="32"/>
          <w:szCs w:val="32"/>
          <w:shd w:val="clear" w:color="auto" w:fill="FFFFFF"/>
        </w:rPr>
        <w:t>与计划生育支出</w:t>
      </w:r>
      <w:r>
        <w:rPr>
          <w:rFonts w:ascii="仿宋" w:eastAsia="仿宋" w:hAnsi="仿宋"/>
          <w:color w:val="000000"/>
          <w:kern w:val="0"/>
          <w:sz w:val="32"/>
          <w:szCs w:val="32"/>
          <w:shd w:val="clear" w:color="auto" w:fill="FFFFFF"/>
        </w:rPr>
        <w:t>49,798.59</w:t>
      </w:r>
      <w:r>
        <w:rPr>
          <w:rFonts w:ascii="仿宋" w:eastAsia="仿宋" w:hAnsi="仿宋" w:hint="eastAsia"/>
          <w:color w:val="000000"/>
          <w:kern w:val="0"/>
          <w:sz w:val="32"/>
          <w:szCs w:val="32"/>
          <w:shd w:val="clear" w:color="auto" w:fill="FFFFFF"/>
        </w:rPr>
        <w:t>万元、农林水支出</w:t>
      </w:r>
      <w:r>
        <w:rPr>
          <w:rFonts w:ascii="仿宋" w:eastAsia="仿宋" w:hAnsi="仿宋"/>
          <w:color w:val="000000"/>
          <w:kern w:val="0"/>
          <w:sz w:val="32"/>
          <w:szCs w:val="32"/>
          <w:shd w:val="clear" w:color="auto" w:fill="FFFFFF"/>
        </w:rPr>
        <w:t>79.30</w:t>
      </w:r>
      <w:r>
        <w:rPr>
          <w:rFonts w:ascii="仿宋" w:eastAsia="仿宋" w:hAnsi="仿宋" w:hint="eastAsia"/>
          <w:color w:val="000000"/>
          <w:kern w:val="0"/>
          <w:sz w:val="32"/>
          <w:szCs w:val="32"/>
          <w:shd w:val="clear" w:color="auto" w:fill="FFFFFF"/>
        </w:rPr>
        <w:t>万元、住房保障支出</w:t>
      </w:r>
      <w:r>
        <w:rPr>
          <w:rFonts w:ascii="仿宋" w:eastAsia="仿宋" w:hAnsi="仿宋"/>
          <w:color w:val="000000"/>
          <w:kern w:val="0"/>
          <w:sz w:val="32"/>
          <w:szCs w:val="32"/>
          <w:shd w:val="clear" w:color="auto" w:fill="FFFFFF"/>
        </w:rPr>
        <w:t>628.24</w:t>
      </w:r>
      <w:r>
        <w:rPr>
          <w:rFonts w:ascii="仿宋" w:eastAsia="仿宋" w:hAnsi="仿宋" w:hint="eastAsia"/>
          <w:color w:val="000000"/>
          <w:kern w:val="0"/>
          <w:sz w:val="32"/>
          <w:szCs w:val="32"/>
          <w:shd w:val="clear" w:color="auto" w:fill="FFFFFF"/>
        </w:rPr>
        <w:t>万元、其他支出</w:t>
      </w:r>
      <w:r>
        <w:rPr>
          <w:rFonts w:ascii="仿宋" w:eastAsia="仿宋" w:hAnsi="仿宋"/>
          <w:color w:val="000000"/>
          <w:kern w:val="0"/>
          <w:sz w:val="32"/>
          <w:szCs w:val="32"/>
          <w:shd w:val="clear" w:color="auto" w:fill="FFFFFF"/>
        </w:rPr>
        <w:t>103.71</w:t>
      </w:r>
      <w:r>
        <w:rPr>
          <w:rFonts w:ascii="仿宋" w:eastAsia="仿宋" w:hAnsi="仿宋" w:hint="eastAsia"/>
          <w:color w:val="000000"/>
          <w:kern w:val="0"/>
          <w:sz w:val="32"/>
          <w:szCs w:val="32"/>
          <w:shd w:val="clear" w:color="auto" w:fill="FFFFFF"/>
        </w:rPr>
        <w:t>万元。</w:t>
      </w:r>
    </w:p>
    <w:p w14:paraId="253CF848" w14:textId="77777777" w:rsidR="00082A63" w:rsidRDefault="008B068D">
      <w:pPr>
        <w:spacing w:line="600" w:lineRule="exact"/>
        <w:ind w:firstLineChars="250" w:firstLine="800"/>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2019年度本部门财政资金决算支出</w:t>
      </w:r>
      <w:r>
        <w:rPr>
          <w:rFonts w:ascii="仿宋" w:eastAsia="仿宋" w:hAnsi="仿宋"/>
          <w:color w:val="000000"/>
          <w:kern w:val="0"/>
          <w:sz w:val="32"/>
          <w:szCs w:val="32"/>
          <w:shd w:val="clear" w:color="auto" w:fill="FFFFFF"/>
        </w:rPr>
        <w:t>63,481.42万元，</w:t>
      </w:r>
      <w:r>
        <w:rPr>
          <w:rFonts w:ascii="仿宋" w:eastAsia="仿宋" w:hAnsi="仿宋" w:hint="eastAsia"/>
          <w:color w:val="000000"/>
          <w:kern w:val="0"/>
          <w:sz w:val="32"/>
          <w:szCs w:val="32"/>
          <w:shd w:val="clear" w:color="auto" w:fill="FFFFFF"/>
        </w:rPr>
        <w:t>主要支出：一般公共服务支出</w:t>
      </w:r>
      <w:r>
        <w:rPr>
          <w:rFonts w:ascii="仿宋" w:eastAsia="仿宋" w:hAnsi="仿宋"/>
          <w:color w:val="000000"/>
          <w:kern w:val="0"/>
          <w:sz w:val="32"/>
          <w:szCs w:val="32"/>
          <w:shd w:val="clear" w:color="auto" w:fill="FFFFFF"/>
        </w:rPr>
        <w:t>16.58</w:t>
      </w:r>
      <w:r>
        <w:rPr>
          <w:rFonts w:ascii="仿宋" w:eastAsia="仿宋" w:hAnsi="仿宋" w:hint="eastAsia"/>
          <w:color w:val="000000"/>
          <w:kern w:val="0"/>
          <w:sz w:val="32"/>
          <w:szCs w:val="32"/>
          <w:shd w:val="clear" w:color="auto" w:fill="FFFFFF"/>
        </w:rPr>
        <w:t>万元、教育支出</w:t>
      </w:r>
      <w:r>
        <w:rPr>
          <w:rFonts w:ascii="仿宋" w:eastAsia="仿宋" w:hAnsi="仿宋"/>
          <w:color w:val="000000"/>
          <w:kern w:val="0"/>
          <w:sz w:val="32"/>
          <w:szCs w:val="32"/>
          <w:shd w:val="clear" w:color="auto" w:fill="FFFFFF"/>
        </w:rPr>
        <w:t>6,169.04</w:t>
      </w:r>
      <w:r>
        <w:rPr>
          <w:rFonts w:ascii="仿宋" w:eastAsia="仿宋" w:hAnsi="仿宋" w:hint="eastAsia"/>
          <w:color w:val="000000"/>
          <w:kern w:val="0"/>
          <w:sz w:val="32"/>
          <w:szCs w:val="32"/>
          <w:shd w:val="clear" w:color="auto" w:fill="FFFFFF"/>
        </w:rPr>
        <w:t>万元、科学技术支出</w:t>
      </w:r>
      <w:r>
        <w:rPr>
          <w:rFonts w:ascii="仿宋" w:eastAsia="仿宋" w:hAnsi="仿宋"/>
          <w:color w:val="000000"/>
          <w:kern w:val="0"/>
          <w:sz w:val="32"/>
          <w:szCs w:val="32"/>
          <w:shd w:val="clear" w:color="auto" w:fill="FFFFFF"/>
        </w:rPr>
        <w:t>7,311.99</w:t>
      </w:r>
      <w:r>
        <w:rPr>
          <w:rFonts w:ascii="仿宋" w:eastAsia="仿宋" w:hAnsi="仿宋" w:hint="eastAsia"/>
          <w:color w:val="000000"/>
          <w:kern w:val="0"/>
          <w:sz w:val="32"/>
          <w:szCs w:val="32"/>
          <w:shd w:val="clear" w:color="auto" w:fill="FFFFFF"/>
        </w:rPr>
        <w:t>万元、文化旅游体育与传媒支出</w:t>
      </w:r>
      <w:r>
        <w:rPr>
          <w:rFonts w:ascii="仿宋" w:eastAsia="仿宋" w:hAnsi="仿宋"/>
          <w:color w:val="000000"/>
          <w:kern w:val="0"/>
          <w:sz w:val="32"/>
          <w:szCs w:val="32"/>
          <w:shd w:val="clear" w:color="auto" w:fill="FFFFFF"/>
        </w:rPr>
        <w:t>2.00</w:t>
      </w:r>
      <w:r>
        <w:rPr>
          <w:rFonts w:ascii="仿宋" w:eastAsia="仿宋" w:hAnsi="仿宋" w:hint="eastAsia"/>
          <w:color w:val="000000"/>
          <w:kern w:val="0"/>
          <w:sz w:val="32"/>
          <w:szCs w:val="32"/>
          <w:shd w:val="clear" w:color="auto" w:fill="FFFFFF"/>
        </w:rPr>
        <w:t>万元、社会保障和就业支出</w:t>
      </w:r>
      <w:r>
        <w:rPr>
          <w:rFonts w:ascii="仿宋" w:eastAsia="仿宋" w:hAnsi="仿宋"/>
          <w:color w:val="000000"/>
          <w:kern w:val="0"/>
          <w:sz w:val="32"/>
          <w:szCs w:val="32"/>
          <w:shd w:val="clear" w:color="auto" w:fill="FFFFFF"/>
        </w:rPr>
        <w:t>2,798.27</w:t>
      </w:r>
      <w:r>
        <w:rPr>
          <w:rFonts w:ascii="仿宋" w:eastAsia="仿宋" w:hAnsi="仿宋" w:hint="eastAsia"/>
          <w:color w:val="000000"/>
          <w:kern w:val="0"/>
          <w:sz w:val="32"/>
          <w:szCs w:val="32"/>
          <w:shd w:val="clear" w:color="auto" w:fill="FFFFFF"/>
        </w:rPr>
        <w:t>万元、</w:t>
      </w:r>
      <w:r w:rsidR="001824B2">
        <w:rPr>
          <w:rFonts w:ascii="仿宋" w:eastAsia="仿宋" w:hAnsi="仿宋" w:hint="eastAsia"/>
          <w:color w:val="000000"/>
          <w:kern w:val="0"/>
          <w:sz w:val="32"/>
          <w:szCs w:val="32"/>
          <w:shd w:val="clear" w:color="auto" w:fill="FFFFFF"/>
        </w:rPr>
        <w:t>医疗</w:t>
      </w:r>
      <w:r w:rsidR="001824B2">
        <w:rPr>
          <w:rFonts w:ascii="仿宋" w:eastAsia="仿宋" w:hAnsi="仿宋" w:hint="eastAsia"/>
          <w:color w:val="000000"/>
          <w:kern w:val="0"/>
          <w:sz w:val="32"/>
          <w:szCs w:val="32"/>
          <w:shd w:val="clear" w:color="auto" w:fill="FFFFFF"/>
        </w:rPr>
        <w:lastRenderedPageBreak/>
        <w:t>卫生</w:t>
      </w:r>
      <w:r w:rsidR="001824B2">
        <w:rPr>
          <w:rFonts w:ascii="仿宋" w:eastAsia="仿宋" w:hAnsi="仿宋"/>
          <w:color w:val="000000"/>
          <w:kern w:val="0"/>
          <w:sz w:val="32"/>
          <w:szCs w:val="32"/>
          <w:shd w:val="clear" w:color="auto" w:fill="FFFFFF"/>
        </w:rPr>
        <w:t>与计划生育支出</w:t>
      </w:r>
      <w:r>
        <w:rPr>
          <w:rFonts w:ascii="仿宋" w:eastAsia="仿宋" w:hAnsi="仿宋"/>
          <w:color w:val="000000"/>
          <w:kern w:val="0"/>
          <w:sz w:val="32"/>
          <w:szCs w:val="32"/>
          <w:shd w:val="clear" w:color="auto" w:fill="FFFFFF"/>
        </w:rPr>
        <w:t>46,375.76</w:t>
      </w:r>
      <w:r>
        <w:rPr>
          <w:rFonts w:ascii="仿宋" w:eastAsia="仿宋" w:hAnsi="仿宋" w:hint="eastAsia"/>
          <w:color w:val="000000"/>
          <w:kern w:val="0"/>
          <w:sz w:val="32"/>
          <w:szCs w:val="32"/>
          <w:shd w:val="clear" w:color="auto" w:fill="FFFFFF"/>
        </w:rPr>
        <w:t>万元、农林水支出</w:t>
      </w:r>
      <w:r>
        <w:rPr>
          <w:rFonts w:ascii="仿宋" w:eastAsia="仿宋" w:hAnsi="仿宋"/>
          <w:color w:val="000000"/>
          <w:kern w:val="0"/>
          <w:sz w:val="32"/>
          <w:szCs w:val="32"/>
          <w:shd w:val="clear" w:color="auto" w:fill="FFFFFF"/>
        </w:rPr>
        <w:t>79.30</w:t>
      </w:r>
      <w:r>
        <w:rPr>
          <w:rFonts w:ascii="仿宋" w:eastAsia="仿宋" w:hAnsi="仿宋" w:hint="eastAsia"/>
          <w:color w:val="000000"/>
          <w:kern w:val="0"/>
          <w:sz w:val="32"/>
          <w:szCs w:val="32"/>
          <w:shd w:val="clear" w:color="auto" w:fill="FFFFFF"/>
        </w:rPr>
        <w:t>万元、住房保障支出</w:t>
      </w:r>
      <w:r>
        <w:rPr>
          <w:rFonts w:ascii="仿宋" w:eastAsia="仿宋" w:hAnsi="仿宋"/>
          <w:color w:val="000000"/>
          <w:kern w:val="0"/>
          <w:sz w:val="32"/>
          <w:szCs w:val="32"/>
          <w:shd w:val="clear" w:color="auto" w:fill="FFFFFF"/>
        </w:rPr>
        <w:t>624.78</w:t>
      </w:r>
      <w:r>
        <w:rPr>
          <w:rFonts w:ascii="仿宋" w:eastAsia="仿宋" w:hAnsi="仿宋" w:hint="eastAsia"/>
          <w:color w:val="000000"/>
          <w:kern w:val="0"/>
          <w:sz w:val="32"/>
          <w:szCs w:val="32"/>
          <w:shd w:val="clear" w:color="auto" w:fill="FFFFFF"/>
        </w:rPr>
        <w:t>万元、其他支出</w:t>
      </w:r>
      <w:r>
        <w:rPr>
          <w:rFonts w:ascii="仿宋" w:eastAsia="仿宋" w:hAnsi="仿宋"/>
          <w:color w:val="000000"/>
          <w:kern w:val="0"/>
          <w:sz w:val="32"/>
          <w:szCs w:val="32"/>
          <w:shd w:val="clear" w:color="auto" w:fill="FFFFFF"/>
        </w:rPr>
        <w:t>103.70</w:t>
      </w:r>
      <w:r>
        <w:rPr>
          <w:rFonts w:ascii="仿宋" w:eastAsia="仿宋" w:hAnsi="仿宋" w:hint="eastAsia"/>
          <w:color w:val="000000"/>
          <w:kern w:val="0"/>
          <w:sz w:val="32"/>
          <w:szCs w:val="32"/>
          <w:shd w:val="clear" w:color="auto" w:fill="FFFFFF"/>
        </w:rPr>
        <w:t>万元等。</w:t>
      </w:r>
    </w:p>
    <w:p w14:paraId="2F0DB39B" w14:textId="77777777" w:rsidR="00082A63" w:rsidRDefault="008B068D">
      <w:pPr>
        <w:spacing w:line="600" w:lineRule="exact"/>
        <w:ind w:firstLineChars="200" w:firstLine="643"/>
        <w:rPr>
          <w:rFonts w:ascii="黑体" w:eastAsia="黑体" w:hAnsi="黑体"/>
          <w:b/>
          <w:sz w:val="32"/>
          <w:szCs w:val="32"/>
        </w:rPr>
      </w:pPr>
      <w:r>
        <w:rPr>
          <w:rFonts w:ascii="黑体" w:eastAsia="黑体" w:hAnsi="黑体" w:hint="eastAsia"/>
          <w:b/>
          <w:sz w:val="32"/>
          <w:szCs w:val="32"/>
        </w:rPr>
        <w:t>三、部门整体预算绩效管理情况</w:t>
      </w:r>
    </w:p>
    <w:p w14:paraId="3BB005CB" w14:textId="77777777" w:rsidR="00082A63" w:rsidRDefault="008B068D">
      <w:pPr>
        <w:spacing w:line="600" w:lineRule="exact"/>
        <w:ind w:firstLineChars="200" w:firstLine="643"/>
        <w:rPr>
          <w:rFonts w:ascii="楷体" w:eastAsia="楷体" w:hAnsi="楷体"/>
          <w:b/>
          <w:sz w:val="32"/>
          <w:szCs w:val="32"/>
        </w:rPr>
      </w:pPr>
      <w:r>
        <w:rPr>
          <w:rFonts w:ascii="楷体" w:eastAsia="楷体" w:hAnsi="楷体" w:hint="eastAsia"/>
          <w:b/>
          <w:sz w:val="32"/>
          <w:szCs w:val="32"/>
        </w:rPr>
        <w:t>（一）部门预算管理。</w:t>
      </w:r>
    </w:p>
    <w:p w14:paraId="6ADB1755" w14:textId="77777777" w:rsidR="00082A63" w:rsidRDefault="008B068D">
      <w:pPr>
        <w:spacing w:line="600" w:lineRule="exact"/>
        <w:ind w:firstLineChars="200" w:firstLine="640"/>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为提高预算编制的科学性，我局紧紧围绕职能职责和阶段性重点工作任务确定部门(单位)总体绩效目标,科学设置目标，进一步细化量化具体项目绩效目标。一是在预算安排前,我局对相关政策和项目进行全面梳理评估。取消不符合最新政策规定、执行到期、绩效不高的项目;归并政策目标接近、资金投入方向类同、资金管理方式相似的项目;调整政策对象交叉、区域范围重叠的项目。二是按照国家从严控制一般性支出的统一要求,在部门预算编制过程中,在保障机构正常运行和工作正常开展的前提下,最大限度压缩一般性支出规模。三是结合全省中医药工作实际，根据轻重缓急,按照必保项目、重点项目、支持项目的顺序进行预算安排,切实提高预算的精确度。四是按照财政7月和9月两</w:t>
      </w:r>
      <w:proofErr w:type="gramStart"/>
      <w:r>
        <w:rPr>
          <w:rFonts w:ascii="仿宋" w:eastAsia="仿宋" w:hAnsi="仿宋" w:hint="eastAsia"/>
          <w:color w:val="000000"/>
          <w:kern w:val="0"/>
          <w:sz w:val="32"/>
          <w:szCs w:val="32"/>
          <w:shd w:val="clear" w:color="auto" w:fill="FFFFFF"/>
        </w:rPr>
        <w:t>个</w:t>
      </w:r>
      <w:proofErr w:type="gramEnd"/>
      <w:r>
        <w:rPr>
          <w:rFonts w:ascii="仿宋" w:eastAsia="仿宋" w:hAnsi="仿宋" w:hint="eastAsia"/>
          <w:color w:val="000000"/>
          <w:kern w:val="0"/>
          <w:sz w:val="32"/>
          <w:szCs w:val="32"/>
          <w:shd w:val="clear" w:color="auto" w:fill="FFFFFF"/>
        </w:rPr>
        <w:t>监控时点,我局对项目预算执行情况、预算调整情况、绩效目标产出指标实现程度开展监控，根据预算绩效结果认真整改问题,完善政策制度,优化资金分配,改进监督管理,推动预算管理水平整体提升。</w:t>
      </w:r>
    </w:p>
    <w:p w14:paraId="721B08DE" w14:textId="77777777" w:rsidR="00082A63" w:rsidRDefault="008B068D">
      <w:pPr>
        <w:widowControl/>
        <w:adjustRightInd w:val="0"/>
        <w:snapToGrid w:val="0"/>
        <w:spacing w:line="600" w:lineRule="exact"/>
        <w:ind w:firstLine="720"/>
        <w:jc w:val="left"/>
        <w:rPr>
          <w:rFonts w:ascii="楷体" w:eastAsia="楷体" w:hAnsi="楷体" w:cs="宋体"/>
          <w:b/>
          <w:color w:val="000000"/>
          <w:kern w:val="0"/>
          <w:sz w:val="32"/>
          <w:szCs w:val="32"/>
          <w:shd w:val="clear" w:color="auto" w:fill="FFFFFF"/>
          <w:lang w:val="zh-CN"/>
        </w:rPr>
      </w:pPr>
      <w:r>
        <w:rPr>
          <w:rFonts w:ascii="楷体" w:eastAsia="楷体" w:hAnsi="楷体" w:cs="宋体" w:hint="eastAsia"/>
          <w:b/>
          <w:color w:val="000000"/>
          <w:kern w:val="0"/>
          <w:sz w:val="32"/>
          <w:szCs w:val="32"/>
          <w:shd w:val="clear" w:color="auto" w:fill="FFFFFF"/>
          <w:lang w:val="zh-CN"/>
        </w:rPr>
        <w:t>（二）结果应用情况。</w:t>
      </w:r>
    </w:p>
    <w:p w14:paraId="1230298F" w14:textId="77777777" w:rsidR="00082A63" w:rsidRDefault="008B068D">
      <w:pPr>
        <w:widowControl/>
        <w:adjustRightInd w:val="0"/>
        <w:snapToGrid w:val="0"/>
        <w:spacing w:line="600" w:lineRule="exact"/>
        <w:ind w:firstLine="720"/>
        <w:jc w:val="left"/>
        <w:rPr>
          <w:rFonts w:ascii="仿宋" w:eastAsia="仿宋" w:hAnsi="仿宋"/>
          <w:color w:val="000000"/>
          <w:kern w:val="0"/>
          <w:sz w:val="32"/>
          <w:szCs w:val="32"/>
          <w:shd w:val="clear" w:color="auto" w:fill="FFFFFF"/>
        </w:rPr>
      </w:pPr>
      <w:r>
        <w:rPr>
          <w:rFonts w:ascii="仿宋" w:eastAsia="仿宋" w:hAnsi="仿宋" w:hint="eastAsia"/>
          <w:color w:val="000000"/>
          <w:kern w:val="0"/>
          <w:sz w:val="32"/>
          <w:szCs w:val="32"/>
          <w:shd w:val="clear" w:color="auto" w:fill="FFFFFF"/>
        </w:rPr>
        <w:t>为更好地促进各项</w:t>
      </w:r>
      <w:proofErr w:type="gramStart"/>
      <w:r>
        <w:rPr>
          <w:rFonts w:ascii="仿宋" w:eastAsia="仿宋" w:hAnsi="仿宋" w:hint="eastAsia"/>
          <w:color w:val="000000"/>
          <w:kern w:val="0"/>
          <w:sz w:val="32"/>
          <w:szCs w:val="32"/>
          <w:shd w:val="clear" w:color="auto" w:fill="FFFFFF"/>
        </w:rPr>
        <w:t>目单位</w:t>
      </w:r>
      <w:proofErr w:type="gramEnd"/>
      <w:r>
        <w:rPr>
          <w:rFonts w:ascii="仿宋" w:eastAsia="仿宋" w:hAnsi="仿宋" w:hint="eastAsia"/>
          <w:color w:val="000000"/>
          <w:kern w:val="0"/>
          <w:sz w:val="32"/>
          <w:szCs w:val="32"/>
          <w:shd w:val="clear" w:color="auto" w:fill="FFFFFF"/>
        </w:rPr>
        <w:t>科学、精准编制预算，我局加强对各项</w:t>
      </w:r>
      <w:proofErr w:type="gramStart"/>
      <w:r>
        <w:rPr>
          <w:rFonts w:ascii="仿宋" w:eastAsia="仿宋" w:hAnsi="仿宋" w:hint="eastAsia"/>
          <w:color w:val="000000"/>
          <w:kern w:val="0"/>
          <w:sz w:val="32"/>
          <w:szCs w:val="32"/>
          <w:shd w:val="clear" w:color="auto" w:fill="FFFFFF"/>
        </w:rPr>
        <w:t>目单位</w:t>
      </w:r>
      <w:proofErr w:type="gramEnd"/>
      <w:r>
        <w:rPr>
          <w:rFonts w:ascii="仿宋" w:eastAsia="仿宋" w:hAnsi="仿宋" w:hint="eastAsia"/>
          <w:color w:val="000000"/>
          <w:kern w:val="0"/>
          <w:sz w:val="32"/>
          <w:szCs w:val="32"/>
          <w:shd w:val="clear" w:color="auto" w:fill="FFFFFF"/>
        </w:rPr>
        <w:t>的预算绩效评价工作，在项目资金管理方案</w:t>
      </w:r>
      <w:r>
        <w:rPr>
          <w:rFonts w:ascii="仿宋" w:eastAsia="仿宋" w:hAnsi="仿宋" w:hint="eastAsia"/>
          <w:color w:val="000000"/>
          <w:kern w:val="0"/>
          <w:sz w:val="32"/>
          <w:szCs w:val="32"/>
          <w:shd w:val="clear" w:color="auto" w:fill="FFFFFF"/>
        </w:rPr>
        <w:lastRenderedPageBreak/>
        <w:t>中明确将项目支持、资金安排同绩效目标考评情况挂钩，并聘请第三方机构对中医药专项资金开展绩效评价，将绩效评价结果作为下年度资金安排的重要依据，对绩效优良的，在资金安排上优先考虑。部门整体支出绩效评价结果随同部门决算一并公开。</w:t>
      </w:r>
    </w:p>
    <w:p w14:paraId="5CB6FEA2" w14:textId="77777777" w:rsidR="00082A63" w:rsidRDefault="008B068D">
      <w:pPr>
        <w:widowControl/>
        <w:adjustRightInd w:val="0"/>
        <w:snapToGrid w:val="0"/>
        <w:spacing w:line="600" w:lineRule="exact"/>
        <w:ind w:firstLine="720"/>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14:paraId="735362B7" w14:textId="77777777" w:rsidR="00082A63" w:rsidRDefault="008B068D">
      <w:pPr>
        <w:widowControl/>
        <w:adjustRightInd w:val="0"/>
        <w:snapToGrid w:val="0"/>
        <w:spacing w:line="600" w:lineRule="exact"/>
        <w:ind w:firstLine="720"/>
        <w:jc w:val="left"/>
        <w:rPr>
          <w:rFonts w:ascii="楷体" w:eastAsia="楷体" w:hAnsi="楷体" w:cs="宋体"/>
          <w:b/>
          <w:kern w:val="0"/>
          <w:sz w:val="32"/>
          <w:szCs w:val="32"/>
          <w:shd w:val="clear" w:color="auto" w:fill="FFFFFF"/>
          <w:lang w:val="zh-CN"/>
        </w:rPr>
      </w:pPr>
      <w:r>
        <w:rPr>
          <w:rFonts w:ascii="楷体" w:eastAsia="楷体" w:hAnsi="楷体" w:cs="宋体" w:hint="eastAsia"/>
          <w:b/>
          <w:kern w:val="0"/>
          <w:sz w:val="32"/>
          <w:szCs w:val="32"/>
          <w:shd w:val="clear" w:color="auto" w:fill="FFFFFF"/>
          <w:lang w:val="zh-CN"/>
        </w:rPr>
        <w:t>（一）评价结论。</w:t>
      </w:r>
    </w:p>
    <w:p w14:paraId="60FF0CD3" w14:textId="77777777" w:rsidR="00082A63" w:rsidRDefault="008B068D" w:rsidP="00092654">
      <w:pPr>
        <w:widowControl/>
        <w:spacing w:line="600" w:lineRule="exact"/>
        <w:ind w:firstLineChars="194" w:firstLine="621"/>
        <w:jc w:val="left"/>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2019年度我局整体预算执行较好，重点工作得到有序推进，各项工作完成良好，圆满完成年初制定的各项工作任务。</w:t>
      </w:r>
    </w:p>
    <w:p w14:paraId="339BEEB8" w14:textId="77777777" w:rsidR="00082A63" w:rsidRDefault="008B068D">
      <w:pPr>
        <w:widowControl/>
        <w:adjustRightInd w:val="0"/>
        <w:snapToGrid w:val="0"/>
        <w:spacing w:line="600" w:lineRule="exact"/>
        <w:ind w:firstLine="720"/>
        <w:jc w:val="left"/>
        <w:rPr>
          <w:rFonts w:ascii="楷体" w:eastAsia="楷体" w:hAnsi="楷体" w:cs="宋体"/>
          <w:b/>
          <w:kern w:val="0"/>
          <w:sz w:val="32"/>
          <w:szCs w:val="32"/>
          <w:shd w:val="clear" w:color="auto" w:fill="FFFFFF"/>
          <w:lang w:val="zh-CN"/>
        </w:rPr>
      </w:pPr>
      <w:r>
        <w:rPr>
          <w:rFonts w:ascii="楷体" w:eastAsia="楷体" w:hAnsi="楷体" w:cs="宋体" w:hint="eastAsia"/>
          <w:b/>
          <w:kern w:val="0"/>
          <w:sz w:val="32"/>
          <w:szCs w:val="32"/>
          <w:shd w:val="clear" w:color="auto" w:fill="FFFFFF"/>
          <w:lang w:val="zh-CN"/>
        </w:rPr>
        <w:t>（二）存在问题。</w:t>
      </w:r>
    </w:p>
    <w:p w14:paraId="0021CA2F" w14:textId="77777777" w:rsidR="00082A63" w:rsidRDefault="008B068D" w:rsidP="00092654">
      <w:pPr>
        <w:widowControl/>
        <w:spacing w:line="600" w:lineRule="exact"/>
        <w:ind w:firstLineChars="194" w:firstLine="621"/>
        <w:jc w:val="left"/>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1.</w:t>
      </w:r>
      <w:r>
        <w:rPr>
          <w:rFonts w:ascii="仿宋" w:eastAsia="仿宋" w:hAnsi="仿宋" w:hint="eastAsia"/>
          <w:sz w:val="32"/>
          <w:szCs w:val="32"/>
        </w:rPr>
        <w:t>部分项目中期</w:t>
      </w:r>
      <w:r>
        <w:rPr>
          <w:rFonts w:ascii="仿宋" w:eastAsia="仿宋" w:hAnsi="仿宋" w:hint="eastAsia"/>
          <w:kern w:val="0"/>
          <w:sz w:val="32"/>
          <w:szCs w:val="32"/>
          <w:shd w:val="clear" w:color="auto" w:fill="FFFFFF"/>
        </w:rPr>
        <w:t>预算执行相对较慢。</w:t>
      </w:r>
      <w:r>
        <w:rPr>
          <w:rFonts w:ascii="仿宋" w:eastAsia="仿宋" w:hAnsi="仿宋" w:hint="eastAsia"/>
          <w:sz w:val="32"/>
          <w:szCs w:val="32"/>
        </w:rPr>
        <w:t>部分项目开展需要采购进口设备，采购程序多、周期长，设备需要验收合格才能付款，导致</w:t>
      </w:r>
      <w:r>
        <w:rPr>
          <w:rFonts w:ascii="仿宋" w:eastAsia="仿宋" w:hAnsi="仿宋" w:hint="eastAsia"/>
          <w:kern w:val="0"/>
          <w:sz w:val="32"/>
          <w:szCs w:val="32"/>
          <w:shd w:val="clear" w:color="auto" w:fill="FFFFFF"/>
        </w:rPr>
        <w:t>预算执行相对较慢。</w:t>
      </w:r>
    </w:p>
    <w:p w14:paraId="2B562F8A" w14:textId="77777777" w:rsidR="00082A63" w:rsidRDefault="008B068D" w:rsidP="00092654">
      <w:pPr>
        <w:widowControl/>
        <w:spacing w:line="600" w:lineRule="exact"/>
        <w:ind w:firstLineChars="194" w:firstLine="621"/>
        <w:jc w:val="left"/>
        <w:rPr>
          <w:rFonts w:ascii="仿宋" w:eastAsia="仿宋" w:hAnsi="仿宋"/>
          <w:sz w:val="32"/>
          <w:szCs w:val="32"/>
        </w:rPr>
      </w:pPr>
      <w:r>
        <w:rPr>
          <w:rFonts w:ascii="仿宋" w:eastAsia="仿宋" w:hAnsi="仿宋" w:hint="eastAsia"/>
          <w:kern w:val="0"/>
          <w:sz w:val="32"/>
          <w:szCs w:val="32"/>
          <w:shd w:val="clear" w:color="auto" w:fill="FFFFFF"/>
        </w:rPr>
        <w:t>2.</w:t>
      </w:r>
      <w:r>
        <w:rPr>
          <w:rFonts w:ascii="仿宋" w:eastAsia="仿宋" w:hAnsi="仿宋" w:hint="eastAsia"/>
          <w:sz w:val="32"/>
          <w:szCs w:val="32"/>
        </w:rPr>
        <w:t>部分科研项目前期绩效实现不明显。部分科研项目周期为2至3年，第一年主要为科研前期工作，绩效目标实现主要在第二或第三年度。</w:t>
      </w:r>
    </w:p>
    <w:p w14:paraId="246A7908" w14:textId="77777777" w:rsidR="00082A63" w:rsidRDefault="008B068D">
      <w:pPr>
        <w:widowControl/>
        <w:adjustRightInd w:val="0"/>
        <w:snapToGrid w:val="0"/>
        <w:spacing w:line="600" w:lineRule="exact"/>
        <w:ind w:firstLine="720"/>
        <w:jc w:val="left"/>
        <w:rPr>
          <w:rFonts w:ascii="楷体" w:eastAsia="楷体" w:hAnsi="楷体" w:cs="宋体"/>
          <w:b/>
          <w:kern w:val="0"/>
          <w:sz w:val="32"/>
          <w:szCs w:val="32"/>
          <w:shd w:val="clear" w:color="auto" w:fill="FFFFFF"/>
          <w:lang w:val="zh-CN"/>
        </w:rPr>
      </w:pPr>
      <w:r>
        <w:rPr>
          <w:rFonts w:ascii="楷体" w:eastAsia="楷体" w:hAnsi="楷体" w:cs="宋体" w:hint="eastAsia"/>
          <w:b/>
          <w:kern w:val="0"/>
          <w:sz w:val="32"/>
          <w:szCs w:val="32"/>
          <w:shd w:val="clear" w:color="auto" w:fill="FFFFFF"/>
          <w:lang w:val="zh-CN"/>
        </w:rPr>
        <w:t>（三）改进建议。</w:t>
      </w:r>
    </w:p>
    <w:p w14:paraId="23B1FD1A" w14:textId="77777777" w:rsidR="00082A63" w:rsidRDefault="008B068D" w:rsidP="00092654">
      <w:pPr>
        <w:widowControl/>
        <w:spacing w:line="600" w:lineRule="exact"/>
        <w:ind w:firstLineChars="194" w:firstLine="621"/>
        <w:jc w:val="left"/>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1.细化预算编制工作，加强项目前期评估论证和后期绩效考评工作，进一步提高预算编制的科学性、严谨性和可操作性。</w:t>
      </w:r>
    </w:p>
    <w:p w14:paraId="7E479613" w14:textId="77777777" w:rsidR="00082A63" w:rsidRDefault="008B068D" w:rsidP="00092654">
      <w:pPr>
        <w:widowControl/>
        <w:spacing w:line="600" w:lineRule="exact"/>
        <w:ind w:firstLineChars="194" w:firstLine="621"/>
        <w:jc w:val="left"/>
      </w:pPr>
      <w:r>
        <w:rPr>
          <w:rFonts w:ascii="仿宋" w:eastAsia="仿宋" w:hAnsi="仿宋" w:hint="eastAsia"/>
          <w:kern w:val="0"/>
          <w:sz w:val="32"/>
          <w:szCs w:val="32"/>
          <w:shd w:val="clear" w:color="auto" w:fill="FFFFFF"/>
        </w:rPr>
        <w:t>2.持续加强项目实施跟踪和中期监控，强化项目绩效评价和结果运用，确保项目绩效目标及时完成，提高资金使用效益。</w:t>
      </w:r>
    </w:p>
    <w:sectPr w:rsidR="00082A63" w:rsidSect="00082A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A397" w14:textId="77777777" w:rsidR="00893829" w:rsidRDefault="00893829" w:rsidP="00092654">
      <w:r>
        <w:separator/>
      </w:r>
    </w:p>
  </w:endnote>
  <w:endnote w:type="continuationSeparator" w:id="0">
    <w:p w14:paraId="049B0649" w14:textId="77777777" w:rsidR="00893829" w:rsidRDefault="00893829" w:rsidP="000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D6BE" w14:textId="77777777" w:rsidR="00893829" w:rsidRDefault="00893829" w:rsidP="00092654">
      <w:r>
        <w:separator/>
      </w:r>
    </w:p>
  </w:footnote>
  <w:footnote w:type="continuationSeparator" w:id="0">
    <w:p w14:paraId="01870B8B" w14:textId="77777777" w:rsidR="00893829" w:rsidRDefault="00893829" w:rsidP="0009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69F4F3E"/>
    <w:rsid w:val="00082A63"/>
    <w:rsid w:val="00092654"/>
    <w:rsid w:val="001824B2"/>
    <w:rsid w:val="00893829"/>
    <w:rsid w:val="008B068D"/>
    <w:rsid w:val="009907AF"/>
    <w:rsid w:val="00DF649C"/>
    <w:rsid w:val="10C95F3D"/>
    <w:rsid w:val="22034DE5"/>
    <w:rsid w:val="235257B1"/>
    <w:rsid w:val="350B0538"/>
    <w:rsid w:val="469F4F3E"/>
    <w:rsid w:val="52F6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50160"/>
  <w15:docId w15:val="{EAE68243-635E-4AEC-A932-1640F518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A63"/>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082A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82A63"/>
    <w:pPr>
      <w:jc w:val="left"/>
    </w:pPr>
  </w:style>
  <w:style w:type="paragraph" w:styleId="a4">
    <w:name w:val="Body Text"/>
    <w:basedOn w:val="a"/>
    <w:qFormat/>
    <w:rsid w:val="00082A63"/>
    <w:pPr>
      <w:spacing w:beforeLines="30"/>
    </w:pPr>
    <w:rPr>
      <w:rFonts w:ascii="仿宋_GB2312" w:eastAsia="仿宋_GB2312"/>
      <w:kern w:val="0"/>
      <w:sz w:val="30"/>
    </w:rPr>
  </w:style>
  <w:style w:type="character" w:styleId="a5">
    <w:name w:val="annotation reference"/>
    <w:basedOn w:val="a0"/>
    <w:rsid w:val="00082A63"/>
    <w:rPr>
      <w:sz w:val="21"/>
      <w:szCs w:val="21"/>
    </w:rPr>
  </w:style>
  <w:style w:type="paragraph" w:styleId="a6">
    <w:name w:val="Balloon Text"/>
    <w:basedOn w:val="a"/>
    <w:link w:val="a7"/>
    <w:rsid w:val="00092654"/>
    <w:rPr>
      <w:sz w:val="18"/>
      <w:szCs w:val="18"/>
    </w:rPr>
  </w:style>
  <w:style w:type="character" w:customStyle="1" w:styleId="a7">
    <w:name w:val="批注框文本 字符"/>
    <w:basedOn w:val="a0"/>
    <w:link w:val="a6"/>
    <w:rsid w:val="00092654"/>
    <w:rPr>
      <w:rFonts w:ascii="Times New Roman" w:eastAsia="宋体" w:hAnsi="Times New Roman" w:cs="Times New Roman"/>
      <w:kern w:val="2"/>
      <w:sz w:val="18"/>
      <w:szCs w:val="18"/>
    </w:rPr>
  </w:style>
  <w:style w:type="paragraph" w:styleId="a8">
    <w:name w:val="header"/>
    <w:basedOn w:val="a"/>
    <w:link w:val="a9"/>
    <w:rsid w:val="0009265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092654"/>
    <w:rPr>
      <w:rFonts w:ascii="Times New Roman" w:eastAsia="宋体" w:hAnsi="Times New Roman" w:cs="Times New Roman"/>
      <w:kern w:val="2"/>
      <w:sz w:val="18"/>
      <w:szCs w:val="18"/>
    </w:rPr>
  </w:style>
  <w:style w:type="paragraph" w:styleId="aa">
    <w:name w:val="footer"/>
    <w:basedOn w:val="a"/>
    <w:link w:val="ab"/>
    <w:rsid w:val="00092654"/>
    <w:pPr>
      <w:tabs>
        <w:tab w:val="center" w:pos="4153"/>
        <w:tab w:val="right" w:pos="8306"/>
      </w:tabs>
      <w:snapToGrid w:val="0"/>
      <w:jc w:val="left"/>
    </w:pPr>
    <w:rPr>
      <w:sz w:val="18"/>
      <w:szCs w:val="18"/>
    </w:rPr>
  </w:style>
  <w:style w:type="character" w:customStyle="1" w:styleId="ab">
    <w:name w:val="页脚 字符"/>
    <w:basedOn w:val="a0"/>
    <w:link w:val="aa"/>
    <w:rsid w:val="0009265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sgk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ms.com.cn/" TargetMode="External"/><Relationship Id="rId12" Type="http://schemas.openxmlformats.org/officeDocument/2006/relationships/hyperlink" Target="http://www.scszjx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zmctcm.com/index.html" TargetMode="External"/><Relationship Id="rId5" Type="http://schemas.openxmlformats.org/officeDocument/2006/relationships/footnotes" Target="footnotes.xml"/><Relationship Id="rId10" Type="http://schemas.openxmlformats.org/officeDocument/2006/relationships/hyperlink" Target="http://www.sacms.com.cn/" TargetMode="External"/><Relationship Id="rId4" Type="http://schemas.openxmlformats.org/officeDocument/2006/relationships/webSettings" Target="webSettings.xml"/><Relationship Id="rId9" Type="http://schemas.openxmlformats.org/officeDocument/2006/relationships/hyperlink" Target="http://www.sctcm120.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cp:lastModifiedBy>
  <cp:revision>4</cp:revision>
  <dcterms:created xsi:type="dcterms:W3CDTF">2020-09-03T00:56:00Z</dcterms:created>
  <dcterms:modified xsi:type="dcterms:W3CDTF">2021-06-07T08:25:00Z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